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D69" w:rsidRDefault="005B0D69">
      <w:pPr>
        <w:rPr>
          <w:rFonts w:ascii="Arial" w:hAnsi="Arial" w:cs="Arial"/>
        </w:rPr>
      </w:pPr>
    </w:p>
    <w:p w:rsidR="005B0D69" w:rsidRDefault="005B0D69">
      <w:pPr>
        <w:jc w:val="center"/>
        <w:rPr>
          <w:rFonts w:ascii="Arial" w:hAnsi="Arial" w:cs="Arial"/>
          <w:b/>
          <w:bCs/>
        </w:rPr>
      </w:pPr>
    </w:p>
    <w:p w:rsidR="005B0D69" w:rsidRDefault="009D7D26">
      <w:pPr>
        <w:pStyle w:val="Titre1"/>
        <w:spacing w:before="0"/>
        <w:jc w:val="center"/>
        <w:rPr>
          <w:rFonts w:ascii="Arial" w:hAnsi="Arial" w:cs="Arial"/>
          <w:b/>
          <w:bCs/>
        </w:rPr>
      </w:pPr>
      <w:r>
        <w:rPr>
          <w:rFonts w:ascii="Arial" w:hAnsi="Arial" w:cs="Arial"/>
          <w:b/>
          <w:bCs/>
        </w:rPr>
        <w:t>Recommandations sur la parité pour les organisations de manifestations scientifiques Octobre 2025</w:t>
      </w:r>
    </w:p>
    <w:p w:rsidR="005B0D69" w:rsidRDefault="005B0D69">
      <w:pPr>
        <w:rPr>
          <w:rFonts w:ascii="Arial" w:hAnsi="Arial" w:cs="Arial"/>
        </w:rPr>
      </w:pPr>
    </w:p>
    <w:p w:rsidR="005B0D69" w:rsidRDefault="005B0D69">
      <w:pPr>
        <w:rPr>
          <w:rFonts w:ascii="Arial" w:hAnsi="Arial" w:cs="Arial"/>
        </w:rPr>
      </w:pPr>
    </w:p>
    <w:p w:rsidR="005B0D69" w:rsidRDefault="009D7D26">
      <w:pPr>
        <w:pStyle w:val="Titre1"/>
        <w:rPr>
          <w:rFonts w:ascii="Arial" w:hAnsi="Arial" w:cs="Arial"/>
        </w:rPr>
      </w:pPr>
      <w:r>
        <w:rPr>
          <w:rFonts w:ascii="Arial" w:hAnsi="Arial" w:cs="Arial"/>
        </w:rPr>
        <w:t>Introduction</w:t>
      </w:r>
    </w:p>
    <w:p w:rsidR="005B0D69" w:rsidRDefault="005B0D69">
      <w:pPr>
        <w:rPr>
          <w:rFonts w:ascii="Arial" w:hAnsi="Arial" w:cs="Arial"/>
        </w:rPr>
      </w:pPr>
    </w:p>
    <w:p w:rsidR="005B0D69" w:rsidRDefault="009D7D26">
      <w:pPr>
        <w:jc w:val="both"/>
        <w:rPr>
          <w:rFonts w:ascii="Arial" w:hAnsi="Arial" w:cs="Arial"/>
        </w:rPr>
      </w:pPr>
      <w:r>
        <w:rPr>
          <w:rFonts w:ascii="Arial" w:hAnsi="Arial" w:cs="Arial"/>
        </w:rPr>
        <w:t>Les femmes restent sous-représentées dans le domaine de la recherche</w:t>
      </w:r>
      <w:r>
        <w:rPr>
          <w:rStyle w:val="Appelnotedebasdep"/>
          <w:rFonts w:ascii="Arial" w:hAnsi="Arial" w:cs="Arial"/>
        </w:rPr>
        <w:footnoteReference w:id="1"/>
      </w:r>
      <w:r>
        <w:rPr>
          <w:rFonts w:ascii="Arial" w:hAnsi="Arial" w:cs="Arial"/>
        </w:rPr>
        <w:t xml:space="preserve"> dans l’ensemble des pays de l’OCDE selon le dernier rapport de </w:t>
      </w:r>
      <w:r>
        <w:rPr>
          <w:rFonts w:ascii="Arial" w:hAnsi="Arial" w:cs="Arial"/>
        </w:rPr>
        <w:t xml:space="preserve">l’UNESCO de 2024 </w:t>
      </w:r>
      <w:r>
        <w:rPr>
          <w:rStyle w:val="Appelnotedebasdep"/>
          <w:rFonts w:ascii="Arial" w:hAnsi="Arial" w:cs="Arial"/>
        </w:rPr>
        <w:footnoteReference w:id="2"/>
      </w:r>
      <w:r>
        <w:rPr>
          <w:rFonts w:ascii="Arial" w:hAnsi="Arial" w:cs="Arial"/>
        </w:rPr>
        <w:t xml:space="preserve"> et du MESR de 2025</w:t>
      </w:r>
      <w:r>
        <w:rPr>
          <w:rStyle w:val="Appelnotedebasdep"/>
          <w:rFonts w:ascii="Arial" w:hAnsi="Arial" w:cs="Arial"/>
        </w:rPr>
        <w:footnoteReference w:id="3"/>
      </w:r>
      <w:r>
        <w:rPr>
          <w:rFonts w:ascii="Arial" w:hAnsi="Arial" w:cs="Arial"/>
        </w:rPr>
        <w:t>. Elles représenteraient en moyenne 30% des chercheurs tous domaines confondus</w:t>
      </w:r>
      <w:r>
        <w:rPr>
          <w:rStyle w:val="Appelnotedebasdep"/>
          <w:rFonts w:ascii="Arial" w:hAnsi="Arial" w:cs="Arial"/>
        </w:rPr>
        <w:footnoteReference w:id="4"/>
      </w:r>
      <w:r>
        <w:rPr>
          <w:rFonts w:ascii="Arial" w:hAnsi="Arial" w:cs="Arial"/>
        </w:rPr>
        <w:t>, tandis que la proportion diminue autour de 27% dans le champ d’étude des sciences et des techniques</w:t>
      </w:r>
      <w:r>
        <w:rPr>
          <w:rStyle w:val="Appelnotedebasdep"/>
          <w:rFonts w:ascii="Arial" w:hAnsi="Arial" w:cs="Arial"/>
        </w:rPr>
        <w:footnoteReference w:id="5"/>
      </w:r>
      <w:r>
        <w:rPr>
          <w:rFonts w:ascii="Arial" w:hAnsi="Arial" w:cs="Arial"/>
        </w:rPr>
        <w:t xml:space="preserve"> , et à 14% pour le secteur de la fab</w:t>
      </w:r>
      <w:r>
        <w:rPr>
          <w:rFonts w:ascii="Arial" w:hAnsi="Arial" w:cs="Arial"/>
        </w:rPr>
        <w:t>rication d’équipements de télécommunication en France</w:t>
      </w:r>
      <w:r>
        <w:rPr>
          <w:rStyle w:val="Appelnotedebasdep"/>
          <w:rFonts w:ascii="Arial" w:hAnsi="Arial" w:cs="Arial"/>
        </w:rPr>
        <w:footnoteReference w:id="6"/>
      </w:r>
      <w:r>
        <w:rPr>
          <w:rFonts w:ascii="Arial" w:hAnsi="Arial" w:cs="Arial"/>
        </w:rPr>
        <w:t>.</w:t>
      </w:r>
    </w:p>
    <w:p w:rsidR="005B0D69" w:rsidRDefault="009D7D26">
      <w:pPr>
        <w:jc w:val="both"/>
        <w:rPr>
          <w:rFonts w:ascii="Arial" w:hAnsi="Arial" w:cs="Arial"/>
        </w:rPr>
      </w:pPr>
      <w:r>
        <w:rPr>
          <w:rFonts w:ascii="Arial" w:hAnsi="Arial" w:cs="Arial"/>
        </w:rPr>
        <w:t>Cette faible représentation se constate également dans les formations d’ingénieur malgré une légère progression</w:t>
      </w:r>
      <w:r>
        <w:rPr>
          <w:rStyle w:val="Appelnotedebasdep"/>
          <w:rFonts w:ascii="Arial" w:hAnsi="Arial" w:cs="Arial"/>
        </w:rPr>
        <w:footnoteReference w:id="7"/>
      </w:r>
      <w:r>
        <w:rPr>
          <w:rFonts w:ascii="Arial" w:hAnsi="Arial" w:cs="Arial"/>
        </w:rPr>
        <w:t>. On dénombrait 30% d’étudiantes en 2023, contre 27% en 2013 en France</w:t>
      </w:r>
      <w:r>
        <w:rPr>
          <w:rStyle w:val="Appelnotedebasdep"/>
          <w:rFonts w:ascii="Arial" w:hAnsi="Arial" w:cs="Arial"/>
        </w:rPr>
        <w:footnoteReference w:id="8"/>
      </w:r>
      <w:r>
        <w:rPr>
          <w:rFonts w:ascii="Arial" w:hAnsi="Arial" w:cs="Arial"/>
        </w:rPr>
        <w:t xml:space="preserve">. </w:t>
      </w:r>
    </w:p>
    <w:p w:rsidR="005B0D69" w:rsidRDefault="009D7D26">
      <w:pPr>
        <w:jc w:val="both"/>
        <w:rPr>
          <w:rFonts w:ascii="Arial" w:hAnsi="Arial" w:cs="Arial"/>
        </w:rPr>
      </w:pPr>
      <w:r>
        <w:rPr>
          <w:rFonts w:ascii="Arial" w:hAnsi="Arial" w:cs="Arial"/>
        </w:rPr>
        <w:t>Si des progrès</w:t>
      </w:r>
      <w:r>
        <w:rPr>
          <w:rFonts w:ascii="Arial" w:hAnsi="Arial" w:cs="Arial"/>
        </w:rPr>
        <w:t xml:space="preserve"> ont lieu au sein des universités et établissements de recherche, l</w:t>
      </w:r>
      <w:r>
        <w:rPr>
          <w:rFonts w:ascii="Arial" w:eastAsia="Arial" w:hAnsi="Arial" w:cs="Arial"/>
          <w:color w:val="000000"/>
        </w:rPr>
        <w:t>’objectif de représentativité n’est pas encore atteint.</w:t>
      </w:r>
    </w:p>
    <w:p w:rsidR="005B0D69" w:rsidRDefault="009D7D26">
      <w:pPr>
        <w:rPr>
          <w:rFonts w:ascii="Arial" w:hAnsi="Arial" w:cs="Arial"/>
        </w:rPr>
      </w:pPr>
      <w:r>
        <w:rPr>
          <w:rFonts w:ascii="Arial" w:hAnsi="Arial" w:cs="Arial"/>
        </w:rPr>
        <w:t xml:space="preserve">Le PEPR Réseaux du Futur compte parmi ses missions de participer à l’effort international pour améliorer la place des femmes dans la </w:t>
      </w:r>
      <w:r>
        <w:rPr>
          <w:rFonts w:ascii="Arial" w:hAnsi="Arial" w:cs="Arial"/>
        </w:rPr>
        <w:t>recherche et augmenter la visibilité des femmes dans les métiers du numérique. Le PEPR propose dans ce cadre ces actions concrètes pour une juste reconnaissance des femmes dans nos communications scientifiques.</w:t>
      </w:r>
    </w:p>
    <w:p w:rsidR="005B0D69" w:rsidRDefault="009D7D26">
      <w:pPr>
        <w:jc w:val="both"/>
        <w:rPr>
          <w:rFonts w:ascii="Arial" w:hAnsi="Arial" w:cs="Arial"/>
        </w:rPr>
      </w:pPr>
      <w:r>
        <w:rPr>
          <w:rFonts w:ascii="Arial" w:hAnsi="Arial" w:cs="Arial"/>
        </w:rPr>
        <w:lastRenderedPageBreak/>
        <w:t>Le PEPR demande aux organisateurs et organisa</w:t>
      </w:r>
      <w:r>
        <w:rPr>
          <w:rFonts w:ascii="Arial" w:hAnsi="Arial" w:cs="Arial"/>
        </w:rPr>
        <w:t xml:space="preserve">trices de colloques, conférences et séminaires d’être </w:t>
      </w:r>
      <w:proofErr w:type="spellStart"/>
      <w:r>
        <w:rPr>
          <w:rFonts w:ascii="Arial" w:hAnsi="Arial" w:cs="Arial"/>
        </w:rPr>
        <w:t>attentif·ve·s</w:t>
      </w:r>
      <w:proofErr w:type="spellEnd"/>
      <w:r>
        <w:rPr>
          <w:rFonts w:ascii="Arial" w:hAnsi="Arial" w:cs="Arial"/>
        </w:rPr>
        <w:t xml:space="preserve"> aux questions de parité. En particulier, les organisateurs et organisatrices de manifestations scientifiques sollicitant un soutien (financier ou matériel) du PEPR sont </w:t>
      </w:r>
      <w:proofErr w:type="spellStart"/>
      <w:r>
        <w:rPr>
          <w:rFonts w:ascii="Arial" w:hAnsi="Arial" w:cs="Arial"/>
        </w:rPr>
        <w:t>invité·e·s</w:t>
      </w:r>
      <w:proofErr w:type="spellEnd"/>
      <w:r>
        <w:rPr>
          <w:rFonts w:ascii="Arial" w:hAnsi="Arial" w:cs="Arial"/>
        </w:rPr>
        <w:t xml:space="preserve"> à respec</w:t>
      </w:r>
      <w:r>
        <w:rPr>
          <w:rFonts w:ascii="Arial" w:hAnsi="Arial" w:cs="Arial"/>
        </w:rPr>
        <w:t>ter une juste représentation des femmes parmi les orateurs et les membres des comités scientifiques des événements organisés.</w:t>
      </w:r>
    </w:p>
    <w:p w:rsidR="005B0D69" w:rsidRDefault="005B0D69">
      <w:pPr>
        <w:rPr>
          <w:rFonts w:ascii="Arial" w:hAnsi="Arial" w:cs="Arial"/>
        </w:rPr>
      </w:pPr>
    </w:p>
    <w:p w:rsidR="005B0D69" w:rsidRDefault="009D7D26">
      <w:pPr>
        <w:pStyle w:val="Titre1"/>
        <w:rPr>
          <w:rFonts w:ascii="Arial" w:hAnsi="Arial" w:cs="Arial"/>
        </w:rPr>
      </w:pPr>
      <w:r>
        <w:rPr>
          <w:rFonts w:ascii="Arial" w:hAnsi="Arial" w:cs="Arial"/>
        </w:rPr>
        <w:t>Recommandations</w:t>
      </w:r>
    </w:p>
    <w:p w:rsidR="005B0D69" w:rsidRDefault="009D7D26">
      <w:pPr>
        <w:jc w:val="both"/>
        <w:rPr>
          <w:rFonts w:ascii="Arial" w:hAnsi="Arial" w:cs="Arial"/>
        </w:rPr>
      </w:pPr>
      <w:r>
        <w:rPr>
          <w:rFonts w:ascii="Arial" w:hAnsi="Arial" w:cs="Arial"/>
        </w:rPr>
        <w:t xml:space="preserve">Pour atteindre </w:t>
      </w:r>
      <w:proofErr w:type="gramStart"/>
      <w:r>
        <w:rPr>
          <w:rFonts w:ascii="Arial" w:hAnsi="Arial" w:cs="Arial"/>
          <w:i/>
          <w:iCs/>
        </w:rPr>
        <w:t>a</w:t>
      </w:r>
      <w:proofErr w:type="gramEnd"/>
      <w:r>
        <w:rPr>
          <w:rFonts w:ascii="Arial" w:hAnsi="Arial" w:cs="Arial"/>
          <w:i/>
          <w:iCs/>
        </w:rPr>
        <w:t xml:space="preserve"> minima</w:t>
      </w:r>
      <w:r>
        <w:rPr>
          <w:rFonts w:ascii="Arial" w:hAnsi="Arial" w:cs="Arial"/>
        </w:rPr>
        <w:t xml:space="preserve"> un niveau comparable de représentation féminine à l’échelle européenne, il est suggéré au</w:t>
      </w:r>
      <w:r>
        <w:rPr>
          <w:rFonts w:ascii="Arial" w:hAnsi="Arial" w:cs="Arial"/>
        </w:rPr>
        <w:t>x organisateurs et organisatrices :</w:t>
      </w:r>
    </w:p>
    <w:p w:rsidR="005B0D69" w:rsidRDefault="009D7D26">
      <w:pPr>
        <w:pStyle w:val="Paragraphedeliste"/>
        <w:numPr>
          <w:ilvl w:val="0"/>
          <w:numId w:val="1"/>
        </w:numPr>
        <w:jc w:val="both"/>
        <w:rPr>
          <w:rFonts w:ascii="Arial" w:hAnsi="Arial" w:cs="Arial"/>
        </w:rPr>
      </w:pPr>
      <w:r>
        <w:rPr>
          <w:rFonts w:ascii="Arial" w:hAnsi="Arial" w:cs="Arial"/>
        </w:rPr>
        <w:t xml:space="preserve">D’être </w:t>
      </w:r>
      <w:proofErr w:type="spellStart"/>
      <w:r>
        <w:rPr>
          <w:rFonts w:ascii="Arial" w:hAnsi="Arial" w:cs="Arial"/>
        </w:rPr>
        <w:t>attentif·ve·s</w:t>
      </w:r>
      <w:proofErr w:type="spellEnd"/>
      <w:r>
        <w:rPr>
          <w:rFonts w:ascii="Arial" w:hAnsi="Arial" w:cs="Arial"/>
        </w:rPr>
        <w:t xml:space="preserve"> à la présence de femmes dès la formation du comité scientifique</w:t>
      </w:r>
    </w:p>
    <w:p w:rsidR="005B0D69" w:rsidRDefault="009D7D26">
      <w:pPr>
        <w:pStyle w:val="Paragraphedeliste"/>
        <w:numPr>
          <w:ilvl w:val="0"/>
          <w:numId w:val="1"/>
        </w:numPr>
        <w:jc w:val="both"/>
        <w:rPr>
          <w:rFonts w:ascii="Arial" w:hAnsi="Arial" w:cs="Arial"/>
        </w:rPr>
      </w:pPr>
      <w:r>
        <w:rPr>
          <w:rFonts w:ascii="Arial" w:hAnsi="Arial" w:cs="Arial"/>
        </w:rPr>
        <w:t>De prévenir les potentielles oratrices suffisamment à l’avance</w:t>
      </w:r>
    </w:p>
    <w:p w:rsidR="005B0D69" w:rsidRDefault="009D7D26">
      <w:pPr>
        <w:pStyle w:val="Paragraphedeliste"/>
        <w:numPr>
          <w:ilvl w:val="0"/>
          <w:numId w:val="1"/>
        </w:numPr>
        <w:jc w:val="both"/>
        <w:rPr>
          <w:rFonts w:ascii="Arial" w:hAnsi="Arial" w:cs="Arial"/>
        </w:rPr>
      </w:pPr>
      <w:r>
        <w:rPr>
          <w:rFonts w:ascii="Arial" w:hAnsi="Arial" w:cs="Arial"/>
        </w:rPr>
        <w:t>De préciser, lors de la demande de financement, le nombre prévisionnel d</w:t>
      </w:r>
      <w:r>
        <w:rPr>
          <w:rFonts w:ascii="Arial" w:hAnsi="Arial" w:cs="Arial"/>
        </w:rPr>
        <w:t xml:space="preserve">e femmes et d’hommes </w:t>
      </w:r>
      <w:proofErr w:type="spellStart"/>
      <w:r>
        <w:rPr>
          <w:rFonts w:ascii="Arial" w:hAnsi="Arial" w:cs="Arial"/>
        </w:rPr>
        <w:t>impliqué·e·s</w:t>
      </w:r>
      <w:proofErr w:type="spellEnd"/>
      <w:r>
        <w:rPr>
          <w:rFonts w:ascii="Arial" w:hAnsi="Arial" w:cs="Arial"/>
        </w:rPr>
        <w:t xml:space="preserve"> dans la participation à l’évènement</w:t>
      </w:r>
      <w:r>
        <w:rPr>
          <w:rStyle w:val="Appelnotedebasdep"/>
          <w:rFonts w:ascii="Arial" w:hAnsi="Arial" w:cs="Arial"/>
        </w:rPr>
        <w:footnoteReference w:id="9"/>
      </w:r>
    </w:p>
    <w:p w:rsidR="005B0D69" w:rsidRDefault="009D7D26">
      <w:pPr>
        <w:pStyle w:val="Paragraphedeliste"/>
        <w:numPr>
          <w:ilvl w:val="0"/>
          <w:numId w:val="1"/>
        </w:numPr>
        <w:jc w:val="both"/>
        <w:rPr>
          <w:rFonts w:ascii="Arial" w:hAnsi="Arial" w:cs="Arial"/>
        </w:rPr>
      </w:pPr>
      <w:r>
        <w:rPr>
          <w:rFonts w:ascii="Arial" w:hAnsi="Arial" w:cs="Arial"/>
        </w:rPr>
        <w:t>D’envoyer à la coordination du PEPR la liste définitive de ces personnes, dès qu’elle est connue</w:t>
      </w:r>
    </w:p>
    <w:p w:rsidR="005B0D69" w:rsidRDefault="009D7D26">
      <w:pPr>
        <w:pStyle w:val="Paragraphedeliste"/>
        <w:numPr>
          <w:ilvl w:val="0"/>
          <w:numId w:val="1"/>
        </w:numPr>
        <w:jc w:val="both"/>
        <w:rPr>
          <w:rFonts w:ascii="Arial" w:hAnsi="Arial" w:cs="Arial"/>
        </w:rPr>
      </w:pPr>
      <w:r>
        <w:rPr>
          <w:rFonts w:ascii="Arial" w:hAnsi="Arial" w:cs="Arial"/>
        </w:rPr>
        <w:t>D’atteindre ou de dépasser le pourcentage de femmes avec un plancher de 30%</w:t>
      </w:r>
    </w:p>
    <w:p w:rsidR="005B0D69" w:rsidRDefault="009D7D26">
      <w:pPr>
        <w:pStyle w:val="Paragraphedeliste"/>
        <w:numPr>
          <w:ilvl w:val="0"/>
          <w:numId w:val="1"/>
        </w:numPr>
        <w:jc w:val="both"/>
        <w:rPr>
          <w:rFonts w:ascii="Arial" w:hAnsi="Arial" w:cs="Arial"/>
        </w:rPr>
      </w:pPr>
      <w:r>
        <w:rPr>
          <w:rFonts w:ascii="Arial" w:hAnsi="Arial" w:cs="Arial"/>
        </w:rPr>
        <w:t xml:space="preserve">D’envoyer à </w:t>
      </w:r>
      <w:r>
        <w:rPr>
          <w:rFonts w:ascii="Arial" w:hAnsi="Arial" w:cs="Arial"/>
        </w:rPr>
        <w:t xml:space="preserve">la Coordination du PEPR un statut final (formulaire joint), où seront décrits les pourcentages de femmes à ces différents niveaux ainsi que les actions mises en place par les organisateurs pour augmenter le pourcentage de participantes. </w:t>
      </w:r>
    </w:p>
    <w:p w:rsidR="005B0D69" w:rsidRDefault="009D7D26">
      <w:pPr>
        <w:ind w:left="360"/>
        <w:jc w:val="both"/>
        <w:rPr>
          <w:rFonts w:ascii="Arial" w:hAnsi="Arial" w:cs="Arial"/>
        </w:rPr>
      </w:pPr>
      <w:r>
        <w:rPr>
          <w:rFonts w:ascii="Arial" w:hAnsi="Arial" w:cs="Arial"/>
        </w:rPr>
        <w:t>Ces actions simple</w:t>
      </w:r>
      <w:r>
        <w:rPr>
          <w:rFonts w:ascii="Arial" w:hAnsi="Arial" w:cs="Arial"/>
        </w:rPr>
        <w:t>s auront un impact très positif sur le succès de votre conférence et de votre domaine auprès des jeunes scientifiques, de vos sponsors et de vos tutelles, dans le cadre des politiques d’égalité des différents établissements publics de recherche français, d</w:t>
      </w:r>
      <w:r>
        <w:rPr>
          <w:rFonts w:ascii="Arial" w:hAnsi="Arial" w:cs="Arial"/>
        </w:rPr>
        <w:t xml:space="preserve">u ministère chargé de l’enseignement et de la recherche et de l’Europe. </w:t>
      </w:r>
    </w:p>
    <w:p w:rsidR="005B0D69" w:rsidRDefault="005B0D69">
      <w:pPr>
        <w:jc w:val="both"/>
        <w:rPr>
          <w:rFonts w:ascii="Arial" w:hAnsi="Arial" w:cs="Arial"/>
        </w:rPr>
      </w:pPr>
    </w:p>
    <w:p w:rsidR="005B0D69" w:rsidRDefault="005B0D69">
      <w:pPr>
        <w:pStyle w:val="Titre1"/>
        <w:jc w:val="both"/>
        <w:rPr>
          <w:rFonts w:ascii="Arial" w:hAnsi="Arial" w:cs="Arial"/>
          <w:b/>
          <w:bCs/>
          <w:sz w:val="44"/>
          <w:szCs w:val="44"/>
        </w:rPr>
      </w:pPr>
    </w:p>
    <w:p w:rsidR="005B0D69" w:rsidRDefault="005B0D69"/>
    <w:p w:rsidR="005B0D69" w:rsidRDefault="005B0D69"/>
    <w:p w:rsidR="005B0D69" w:rsidRDefault="005B0D69"/>
    <w:p w:rsidR="005B0D69" w:rsidRDefault="009D7D26">
      <w:pPr>
        <w:pStyle w:val="Titre1"/>
        <w:jc w:val="center"/>
        <w:rPr>
          <w:rStyle w:val="Lienhypertexte"/>
          <w:rFonts w:ascii="Arial" w:hAnsi="Arial" w:cs="Arial"/>
          <w:b/>
          <w:bCs/>
          <w:sz w:val="32"/>
          <w:szCs w:val="32"/>
        </w:rPr>
      </w:pPr>
      <w:r>
        <w:rPr>
          <w:rFonts w:ascii="Arial" w:hAnsi="Arial" w:cs="Arial"/>
          <w:b/>
          <w:bCs/>
          <w:sz w:val="32"/>
          <w:szCs w:val="32"/>
        </w:rPr>
        <w:t xml:space="preserve">Formulaire à remplir après l’évènement </w:t>
      </w:r>
      <w:r>
        <w:rPr>
          <w:rFonts w:ascii="Arial" w:hAnsi="Arial" w:cs="Arial"/>
          <w:b/>
          <w:bCs/>
          <w:color w:val="0F4761"/>
          <w:sz w:val="32"/>
          <w:szCs w:val="32"/>
        </w:rPr>
        <w:t>et</w:t>
      </w:r>
      <w:r>
        <w:rPr>
          <w:rFonts w:ascii="Arial" w:hAnsi="Arial" w:cs="Arial"/>
          <w:b/>
          <w:bCs/>
          <w:sz w:val="32"/>
          <w:szCs w:val="32"/>
        </w:rPr>
        <w:t xml:space="preserve"> à renvoyer par mail à </w:t>
      </w:r>
      <w:hyperlink r:id="rId8" w:tooltip="mailto:XXXXX@imt.fr" w:history="1">
        <w:r>
          <w:rPr>
            <w:rStyle w:val="Lienhypertexte"/>
            <w:rFonts w:ascii="Arial" w:hAnsi="Arial" w:cs="Arial"/>
            <w:b/>
            <w:bCs/>
            <w:color w:val="0F4761"/>
            <w:sz w:val="32"/>
            <w:szCs w:val="32"/>
          </w:rPr>
          <w:t xml:space="preserve">contact@pepr-futurenetworks.fr; </w:t>
        </w:r>
      </w:hyperlink>
    </w:p>
    <w:p w:rsidR="005B0D69" w:rsidRDefault="005B0D69">
      <w:pPr>
        <w:ind w:left="360"/>
        <w:jc w:val="center"/>
        <w:rPr>
          <w:rFonts w:ascii="Arial" w:hAnsi="Arial" w:cs="Arial"/>
        </w:rPr>
      </w:pPr>
    </w:p>
    <w:p w:rsidR="005B0D69" w:rsidRDefault="005B0D69">
      <w:pPr>
        <w:ind w:left="360"/>
        <w:jc w:val="center"/>
        <w:rPr>
          <w:rFonts w:ascii="Arial" w:hAnsi="Arial" w:cs="Arial"/>
        </w:rPr>
      </w:pPr>
    </w:p>
    <w:p w:rsidR="005B0D69" w:rsidRDefault="009D7D26">
      <w:pPr>
        <w:spacing w:line="240" w:lineRule="auto"/>
        <w:ind w:left="360"/>
        <w:rPr>
          <w:rFonts w:ascii="Arial" w:hAnsi="Arial" w:cs="Arial"/>
        </w:rPr>
      </w:pPr>
      <w:r>
        <w:rPr>
          <w:rFonts w:ascii="Arial" w:hAnsi="Arial" w:cs="Arial"/>
        </w:rPr>
        <w:t>Titre de la conférence :</w:t>
      </w:r>
    </w:p>
    <w:p w:rsidR="005B0D69" w:rsidRDefault="009D7D26">
      <w:pPr>
        <w:spacing w:line="240" w:lineRule="auto"/>
        <w:ind w:left="360"/>
        <w:rPr>
          <w:rFonts w:ascii="Arial" w:hAnsi="Arial" w:cs="Arial"/>
        </w:rPr>
      </w:pPr>
      <w:r>
        <w:rPr>
          <w:rFonts w:ascii="Arial" w:hAnsi="Arial" w:cs="Arial"/>
        </w:rPr>
        <w:t>Lieu :</w:t>
      </w:r>
    </w:p>
    <w:p w:rsidR="005B0D69" w:rsidRDefault="009D7D26">
      <w:pPr>
        <w:spacing w:line="240" w:lineRule="auto"/>
        <w:ind w:left="360"/>
        <w:rPr>
          <w:rFonts w:ascii="Arial" w:hAnsi="Arial" w:cs="Arial"/>
        </w:rPr>
      </w:pPr>
      <w:r>
        <w:rPr>
          <w:rFonts w:ascii="Arial" w:hAnsi="Arial" w:cs="Arial"/>
        </w:rPr>
        <w:t>Dates :                                                                                 Site web :</w:t>
      </w:r>
    </w:p>
    <w:p w:rsidR="005B0D69" w:rsidRDefault="009D7D26">
      <w:pPr>
        <w:spacing w:line="240" w:lineRule="auto"/>
        <w:ind w:left="360"/>
        <w:rPr>
          <w:rFonts w:ascii="Arial" w:hAnsi="Arial" w:cs="Arial"/>
        </w:rPr>
      </w:pPr>
      <w:r>
        <w:rPr>
          <w:rFonts w:ascii="Arial" w:hAnsi="Arial" w:cs="Arial"/>
        </w:rPr>
        <w:t>Président(e) du comité scientifique :</w:t>
      </w:r>
    </w:p>
    <w:p w:rsidR="005B0D69" w:rsidRDefault="005B0D69">
      <w:pPr>
        <w:spacing w:line="240" w:lineRule="auto"/>
        <w:ind w:left="360"/>
        <w:rPr>
          <w:rFonts w:ascii="Arial" w:hAnsi="Arial" w:cs="Arial"/>
        </w:rPr>
      </w:pPr>
    </w:p>
    <w:tbl>
      <w:tblPr>
        <w:tblStyle w:val="Grilledutableau"/>
        <w:tblW w:w="0" w:type="auto"/>
        <w:tblInd w:w="360" w:type="dxa"/>
        <w:tblLook w:val="04A0" w:firstRow="1" w:lastRow="0" w:firstColumn="1" w:lastColumn="0" w:noHBand="0" w:noVBand="1"/>
      </w:tblPr>
      <w:tblGrid>
        <w:gridCol w:w="3037"/>
        <w:gridCol w:w="1701"/>
        <w:gridCol w:w="1769"/>
        <w:gridCol w:w="2195"/>
      </w:tblGrid>
      <w:tr w:rsidR="005B0D69">
        <w:tc>
          <w:tcPr>
            <w:tcW w:w="3037" w:type="dxa"/>
          </w:tcPr>
          <w:p w:rsidR="005B0D69" w:rsidRDefault="005B0D69">
            <w:pPr>
              <w:rPr>
                <w:rFonts w:ascii="Arial" w:hAnsi="Arial" w:cs="Arial"/>
              </w:rPr>
            </w:pPr>
          </w:p>
        </w:tc>
        <w:tc>
          <w:tcPr>
            <w:tcW w:w="1701" w:type="dxa"/>
          </w:tcPr>
          <w:p w:rsidR="005B0D69" w:rsidRDefault="009D7D26">
            <w:pPr>
              <w:jc w:val="center"/>
              <w:rPr>
                <w:rFonts w:ascii="Arial" w:hAnsi="Arial" w:cs="Arial"/>
              </w:rPr>
            </w:pPr>
            <w:r>
              <w:rPr>
                <w:rFonts w:ascii="Arial" w:hAnsi="Arial" w:cs="Arial"/>
              </w:rPr>
              <w:t>Nombre total</w:t>
            </w:r>
          </w:p>
          <w:p w:rsidR="005B0D69" w:rsidRDefault="005B0D69">
            <w:pPr>
              <w:jc w:val="center"/>
              <w:rPr>
                <w:rFonts w:ascii="Arial" w:hAnsi="Arial" w:cs="Arial"/>
              </w:rPr>
            </w:pPr>
          </w:p>
        </w:tc>
        <w:tc>
          <w:tcPr>
            <w:tcW w:w="1769" w:type="dxa"/>
          </w:tcPr>
          <w:p w:rsidR="005B0D69" w:rsidRDefault="009D7D26">
            <w:pPr>
              <w:jc w:val="center"/>
              <w:rPr>
                <w:rFonts w:ascii="Arial" w:hAnsi="Arial" w:cs="Arial"/>
              </w:rPr>
            </w:pPr>
            <w:r>
              <w:rPr>
                <w:rFonts w:ascii="Arial" w:hAnsi="Arial" w:cs="Arial"/>
              </w:rPr>
              <w:t>Nombre de</w:t>
            </w:r>
          </w:p>
          <w:p w:rsidR="005B0D69" w:rsidRDefault="009D7D26">
            <w:pPr>
              <w:jc w:val="center"/>
              <w:rPr>
                <w:rFonts w:ascii="Arial" w:hAnsi="Arial" w:cs="Arial"/>
              </w:rPr>
            </w:pPr>
            <w:proofErr w:type="gramStart"/>
            <w:r>
              <w:rPr>
                <w:rFonts w:ascii="Arial" w:hAnsi="Arial" w:cs="Arial"/>
              </w:rPr>
              <w:t>femmes</w:t>
            </w:r>
            <w:proofErr w:type="gramEnd"/>
          </w:p>
          <w:p w:rsidR="005B0D69" w:rsidRDefault="005B0D69">
            <w:pPr>
              <w:jc w:val="center"/>
              <w:rPr>
                <w:rFonts w:ascii="Arial" w:hAnsi="Arial" w:cs="Arial"/>
              </w:rPr>
            </w:pPr>
          </w:p>
        </w:tc>
        <w:tc>
          <w:tcPr>
            <w:tcW w:w="2195" w:type="dxa"/>
          </w:tcPr>
          <w:p w:rsidR="005B0D69" w:rsidRDefault="009D7D26">
            <w:pPr>
              <w:jc w:val="center"/>
              <w:rPr>
                <w:rFonts w:ascii="Arial" w:hAnsi="Arial" w:cs="Arial"/>
              </w:rPr>
            </w:pPr>
            <w:r>
              <w:rPr>
                <w:rFonts w:ascii="Arial" w:hAnsi="Arial" w:cs="Arial"/>
              </w:rPr>
              <w:t>Pourcentage de</w:t>
            </w:r>
          </w:p>
          <w:p w:rsidR="005B0D69" w:rsidRDefault="009D7D26">
            <w:pPr>
              <w:jc w:val="center"/>
              <w:rPr>
                <w:rFonts w:ascii="Arial" w:hAnsi="Arial" w:cs="Arial"/>
              </w:rPr>
            </w:pPr>
            <w:r>
              <w:rPr>
                <w:rFonts w:ascii="Arial" w:hAnsi="Arial" w:cs="Arial"/>
              </w:rPr>
              <w:t>femmes</w:t>
            </w:r>
          </w:p>
        </w:tc>
      </w:tr>
      <w:tr w:rsidR="005B0D69">
        <w:tc>
          <w:tcPr>
            <w:tcW w:w="3037" w:type="dxa"/>
          </w:tcPr>
          <w:p w:rsidR="005B0D69" w:rsidRDefault="009D7D26">
            <w:pPr>
              <w:jc w:val="center"/>
              <w:rPr>
                <w:rFonts w:ascii="Arial" w:hAnsi="Arial" w:cs="Arial"/>
              </w:rPr>
            </w:pPr>
            <w:r>
              <w:rPr>
                <w:rFonts w:ascii="Arial" w:hAnsi="Arial" w:cs="Arial"/>
              </w:rPr>
              <w:t>Membres du Comité Scientifique</w:t>
            </w:r>
          </w:p>
        </w:tc>
        <w:tc>
          <w:tcPr>
            <w:tcW w:w="1701" w:type="dxa"/>
          </w:tcPr>
          <w:p w:rsidR="005B0D69" w:rsidRDefault="005B0D69">
            <w:pPr>
              <w:rPr>
                <w:rFonts w:ascii="Arial" w:hAnsi="Arial" w:cs="Arial"/>
              </w:rPr>
            </w:pPr>
          </w:p>
        </w:tc>
        <w:tc>
          <w:tcPr>
            <w:tcW w:w="1769" w:type="dxa"/>
          </w:tcPr>
          <w:p w:rsidR="005B0D69" w:rsidRDefault="005B0D69">
            <w:pPr>
              <w:rPr>
                <w:rFonts w:ascii="Arial" w:hAnsi="Arial" w:cs="Arial"/>
              </w:rPr>
            </w:pPr>
          </w:p>
        </w:tc>
        <w:tc>
          <w:tcPr>
            <w:tcW w:w="2195" w:type="dxa"/>
          </w:tcPr>
          <w:p w:rsidR="005B0D69" w:rsidRDefault="005B0D69">
            <w:pPr>
              <w:rPr>
                <w:rFonts w:ascii="Arial" w:hAnsi="Arial" w:cs="Arial"/>
              </w:rPr>
            </w:pPr>
          </w:p>
        </w:tc>
      </w:tr>
      <w:tr w:rsidR="005B0D69">
        <w:tc>
          <w:tcPr>
            <w:tcW w:w="3037" w:type="dxa"/>
          </w:tcPr>
          <w:p w:rsidR="005B0D69" w:rsidRDefault="009D7D26">
            <w:pPr>
              <w:jc w:val="center"/>
              <w:rPr>
                <w:rFonts w:ascii="Arial" w:hAnsi="Arial" w:cs="Arial"/>
              </w:rPr>
            </w:pPr>
            <w:r>
              <w:rPr>
                <w:rFonts w:ascii="Arial" w:hAnsi="Arial" w:cs="Arial"/>
              </w:rPr>
              <w:t>Membres du Comité International</w:t>
            </w:r>
          </w:p>
        </w:tc>
        <w:tc>
          <w:tcPr>
            <w:tcW w:w="1701" w:type="dxa"/>
          </w:tcPr>
          <w:p w:rsidR="005B0D69" w:rsidRDefault="005B0D69">
            <w:pPr>
              <w:rPr>
                <w:rFonts w:ascii="Arial" w:hAnsi="Arial" w:cs="Arial"/>
              </w:rPr>
            </w:pPr>
          </w:p>
        </w:tc>
        <w:tc>
          <w:tcPr>
            <w:tcW w:w="1769" w:type="dxa"/>
          </w:tcPr>
          <w:p w:rsidR="005B0D69" w:rsidRDefault="005B0D69">
            <w:pPr>
              <w:rPr>
                <w:rFonts w:ascii="Arial" w:hAnsi="Arial" w:cs="Arial"/>
              </w:rPr>
            </w:pPr>
          </w:p>
        </w:tc>
        <w:tc>
          <w:tcPr>
            <w:tcW w:w="2195" w:type="dxa"/>
          </w:tcPr>
          <w:p w:rsidR="005B0D69" w:rsidRDefault="005B0D69">
            <w:pPr>
              <w:rPr>
                <w:rFonts w:ascii="Arial" w:hAnsi="Arial" w:cs="Arial"/>
              </w:rPr>
            </w:pPr>
          </w:p>
        </w:tc>
      </w:tr>
      <w:tr w:rsidR="005B0D69">
        <w:tc>
          <w:tcPr>
            <w:tcW w:w="3037" w:type="dxa"/>
          </w:tcPr>
          <w:p w:rsidR="005B0D69" w:rsidRDefault="009D7D26">
            <w:pPr>
              <w:jc w:val="center"/>
              <w:rPr>
                <w:rFonts w:ascii="Arial" w:hAnsi="Arial" w:cs="Arial"/>
              </w:rPr>
            </w:pPr>
            <w:r>
              <w:rPr>
                <w:rFonts w:ascii="Arial" w:hAnsi="Arial" w:cs="Arial"/>
              </w:rPr>
              <w:t>Membres autre</w:t>
            </w:r>
          </w:p>
          <w:p w:rsidR="005B0D69" w:rsidRDefault="009D7D26">
            <w:pPr>
              <w:jc w:val="center"/>
              <w:rPr>
                <w:rFonts w:ascii="Arial" w:hAnsi="Arial" w:cs="Arial"/>
              </w:rPr>
            </w:pPr>
            <w:r>
              <w:rPr>
                <w:rFonts w:ascii="Arial" w:hAnsi="Arial" w:cs="Arial"/>
              </w:rPr>
              <w:t>Comité (si pertinent)</w:t>
            </w:r>
          </w:p>
        </w:tc>
        <w:tc>
          <w:tcPr>
            <w:tcW w:w="1701" w:type="dxa"/>
          </w:tcPr>
          <w:p w:rsidR="005B0D69" w:rsidRDefault="005B0D69">
            <w:pPr>
              <w:rPr>
                <w:rFonts w:ascii="Arial" w:hAnsi="Arial" w:cs="Arial"/>
              </w:rPr>
            </w:pPr>
          </w:p>
        </w:tc>
        <w:tc>
          <w:tcPr>
            <w:tcW w:w="1769" w:type="dxa"/>
          </w:tcPr>
          <w:p w:rsidR="005B0D69" w:rsidRDefault="005B0D69">
            <w:pPr>
              <w:rPr>
                <w:rFonts w:ascii="Arial" w:hAnsi="Arial" w:cs="Arial"/>
              </w:rPr>
            </w:pPr>
          </w:p>
        </w:tc>
        <w:tc>
          <w:tcPr>
            <w:tcW w:w="2195" w:type="dxa"/>
          </w:tcPr>
          <w:p w:rsidR="005B0D69" w:rsidRDefault="005B0D69">
            <w:pPr>
              <w:rPr>
                <w:rFonts w:ascii="Arial" w:hAnsi="Arial" w:cs="Arial"/>
              </w:rPr>
            </w:pPr>
          </w:p>
        </w:tc>
      </w:tr>
      <w:tr w:rsidR="005B0D69">
        <w:tc>
          <w:tcPr>
            <w:tcW w:w="3037" w:type="dxa"/>
          </w:tcPr>
          <w:p w:rsidR="005B0D69" w:rsidRDefault="009D7D26">
            <w:pPr>
              <w:jc w:val="center"/>
              <w:rPr>
                <w:rFonts w:ascii="Arial" w:hAnsi="Arial" w:cs="Arial"/>
              </w:rPr>
            </w:pPr>
            <w:r>
              <w:rPr>
                <w:rFonts w:ascii="Arial" w:hAnsi="Arial" w:cs="Arial"/>
              </w:rPr>
              <w:t>Orateurs (</w:t>
            </w:r>
            <w:proofErr w:type="spellStart"/>
            <w:r>
              <w:rPr>
                <w:rFonts w:ascii="Arial" w:hAnsi="Arial" w:cs="Arial"/>
              </w:rPr>
              <w:t>trices</w:t>
            </w:r>
            <w:proofErr w:type="spellEnd"/>
            <w:r>
              <w:rPr>
                <w:rFonts w:ascii="Arial" w:hAnsi="Arial" w:cs="Arial"/>
              </w:rPr>
              <w:t>)</w:t>
            </w:r>
          </w:p>
          <w:p w:rsidR="005B0D69" w:rsidRDefault="009D7D26">
            <w:pPr>
              <w:jc w:val="center"/>
              <w:rPr>
                <w:rFonts w:ascii="Arial" w:hAnsi="Arial" w:cs="Arial"/>
              </w:rPr>
            </w:pPr>
            <w:r>
              <w:rPr>
                <w:rFonts w:ascii="Arial" w:hAnsi="Arial" w:cs="Arial"/>
              </w:rPr>
              <w:t>Contributions invitées</w:t>
            </w:r>
          </w:p>
        </w:tc>
        <w:tc>
          <w:tcPr>
            <w:tcW w:w="1701" w:type="dxa"/>
          </w:tcPr>
          <w:p w:rsidR="005B0D69" w:rsidRDefault="005B0D69">
            <w:pPr>
              <w:rPr>
                <w:rFonts w:ascii="Arial" w:hAnsi="Arial" w:cs="Arial"/>
              </w:rPr>
            </w:pPr>
          </w:p>
        </w:tc>
        <w:tc>
          <w:tcPr>
            <w:tcW w:w="1769" w:type="dxa"/>
          </w:tcPr>
          <w:p w:rsidR="005B0D69" w:rsidRDefault="005B0D69">
            <w:pPr>
              <w:rPr>
                <w:rFonts w:ascii="Arial" w:hAnsi="Arial" w:cs="Arial"/>
              </w:rPr>
            </w:pPr>
          </w:p>
        </w:tc>
        <w:tc>
          <w:tcPr>
            <w:tcW w:w="2195" w:type="dxa"/>
          </w:tcPr>
          <w:p w:rsidR="005B0D69" w:rsidRDefault="005B0D69">
            <w:pPr>
              <w:rPr>
                <w:rFonts w:ascii="Arial" w:hAnsi="Arial" w:cs="Arial"/>
              </w:rPr>
            </w:pPr>
          </w:p>
        </w:tc>
      </w:tr>
      <w:tr w:rsidR="005B0D69">
        <w:tc>
          <w:tcPr>
            <w:tcW w:w="3037" w:type="dxa"/>
          </w:tcPr>
          <w:p w:rsidR="005B0D69" w:rsidRDefault="009D7D26">
            <w:pPr>
              <w:jc w:val="center"/>
              <w:rPr>
                <w:rFonts w:ascii="Arial" w:hAnsi="Arial" w:cs="Arial"/>
              </w:rPr>
            </w:pPr>
            <w:r>
              <w:rPr>
                <w:rFonts w:ascii="Arial" w:hAnsi="Arial" w:cs="Arial"/>
              </w:rPr>
              <w:t>Orateurs (</w:t>
            </w:r>
            <w:proofErr w:type="spellStart"/>
            <w:r>
              <w:rPr>
                <w:rFonts w:ascii="Arial" w:hAnsi="Arial" w:cs="Arial"/>
              </w:rPr>
              <w:t>trices</w:t>
            </w:r>
            <w:proofErr w:type="spellEnd"/>
            <w:r>
              <w:rPr>
                <w:rFonts w:ascii="Arial" w:hAnsi="Arial" w:cs="Arial"/>
              </w:rPr>
              <w:t>)</w:t>
            </w:r>
          </w:p>
          <w:p w:rsidR="005B0D69" w:rsidRDefault="009D7D26">
            <w:pPr>
              <w:jc w:val="center"/>
              <w:rPr>
                <w:rFonts w:ascii="Arial" w:hAnsi="Arial" w:cs="Arial"/>
              </w:rPr>
            </w:pPr>
            <w:r>
              <w:rPr>
                <w:rFonts w:ascii="Arial" w:hAnsi="Arial" w:cs="Arial"/>
              </w:rPr>
              <w:t>Contributions orales</w:t>
            </w:r>
          </w:p>
        </w:tc>
        <w:tc>
          <w:tcPr>
            <w:tcW w:w="1701" w:type="dxa"/>
          </w:tcPr>
          <w:p w:rsidR="005B0D69" w:rsidRDefault="005B0D69">
            <w:pPr>
              <w:rPr>
                <w:rFonts w:ascii="Arial" w:hAnsi="Arial" w:cs="Arial"/>
              </w:rPr>
            </w:pPr>
          </w:p>
        </w:tc>
        <w:tc>
          <w:tcPr>
            <w:tcW w:w="1769" w:type="dxa"/>
          </w:tcPr>
          <w:p w:rsidR="005B0D69" w:rsidRDefault="005B0D69">
            <w:pPr>
              <w:rPr>
                <w:rFonts w:ascii="Arial" w:hAnsi="Arial" w:cs="Arial"/>
              </w:rPr>
            </w:pPr>
          </w:p>
        </w:tc>
        <w:tc>
          <w:tcPr>
            <w:tcW w:w="2195" w:type="dxa"/>
          </w:tcPr>
          <w:p w:rsidR="005B0D69" w:rsidRDefault="005B0D69">
            <w:pPr>
              <w:rPr>
                <w:rFonts w:ascii="Arial" w:hAnsi="Arial" w:cs="Arial"/>
              </w:rPr>
            </w:pPr>
          </w:p>
        </w:tc>
      </w:tr>
      <w:tr w:rsidR="005B0D69">
        <w:tc>
          <w:tcPr>
            <w:tcW w:w="3037" w:type="dxa"/>
          </w:tcPr>
          <w:p w:rsidR="005B0D69" w:rsidRDefault="009D7D26">
            <w:pPr>
              <w:jc w:val="center"/>
              <w:rPr>
                <w:rFonts w:ascii="Arial" w:hAnsi="Arial" w:cs="Arial"/>
              </w:rPr>
            </w:pPr>
            <w:r>
              <w:rPr>
                <w:rFonts w:ascii="Arial" w:hAnsi="Arial" w:cs="Arial"/>
              </w:rPr>
              <w:t>Président(e)s de séances</w:t>
            </w:r>
          </w:p>
        </w:tc>
        <w:tc>
          <w:tcPr>
            <w:tcW w:w="1701" w:type="dxa"/>
          </w:tcPr>
          <w:p w:rsidR="005B0D69" w:rsidRDefault="005B0D69">
            <w:pPr>
              <w:rPr>
                <w:rFonts w:ascii="Arial" w:hAnsi="Arial" w:cs="Arial"/>
              </w:rPr>
            </w:pPr>
          </w:p>
        </w:tc>
        <w:tc>
          <w:tcPr>
            <w:tcW w:w="1769" w:type="dxa"/>
          </w:tcPr>
          <w:p w:rsidR="005B0D69" w:rsidRDefault="005B0D69">
            <w:pPr>
              <w:rPr>
                <w:rFonts w:ascii="Arial" w:hAnsi="Arial" w:cs="Arial"/>
              </w:rPr>
            </w:pPr>
          </w:p>
        </w:tc>
        <w:tc>
          <w:tcPr>
            <w:tcW w:w="2195" w:type="dxa"/>
          </w:tcPr>
          <w:p w:rsidR="005B0D69" w:rsidRDefault="005B0D69">
            <w:pPr>
              <w:rPr>
                <w:rFonts w:ascii="Arial" w:hAnsi="Arial" w:cs="Arial"/>
              </w:rPr>
            </w:pPr>
          </w:p>
        </w:tc>
      </w:tr>
      <w:tr w:rsidR="005B0D69">
        <w:tc>
          <w:tcPr>
            <w:tcW w:w="3037" w:type="dxa"/>
          </w:tcPr>
          <w:p w:rsidR="005B0D69" w:rsidRDefault="009D7D26">
            <w:pPr>
              <w:jc w:val="center"/>
              <w:rPr>
                <w:rFonts w:ascii="Arial" w:hAnsi="Arial" w:cs="Arial"/>
              </w:rPr>
            </w:pPr>
            <w:r>
              <w:rPr>
                <w:rFonts w:ascii="Arial" w:hAnsi="Arial" w:cs="Arial"/>
              </w:rPr>
              <w:t>Participants au</w:t>
            </w:r>
          </w:p>
          <w:p w:rsidR="005B0D69" w:rsidRDefault="009D7D26">
            <w:pPr>
              <w:jc w:val="center"/>
              <w:rPr>
                <w:rFonts w:ascii="Arial" w:hAnsi="Arial" w:cs="Arial"/>
              </w:rPr>
            </w:pPr>
            <w:r>
              <w:rPr>
                <w:rFonts w:ascii="Arial" w:hAnsi="Arial" w:cs="Arial"/>
              </w:rPr>
              <w:t>congrès</w:t>
            </w:r>
          </w:p>
        </w:tc>
        <w:tc>
          <w:tcPr>
            <w:tcW w:w="1701" w:type="dxa"/>
          </w:tcPr>
          <w:p w:rsidR="005B0D69" w:rsidRDefault="005B0D69">
            <w:pPr>
              <w:rPr>
                <w:rFonts w:ascii="Arial" w:hAnsi="Arial" w:cs="Arial"/>
              </w:rPr>
            </w:pPr>
          </w:p>
        </w:tc>
        <w:tc>
          <w:tcPr>
            <w:tcW w:w="1769" w:type="dxa"/>
          </w:tcPr>
          <w:p w:rsidR="005B0D69" w:rsidRDefault="005B0D69">
            <w:pPr>
              <w:rPr>
                <w:rFonts w:ascii="Arial" w:hAnsi="Arial" w:cs="Arial"/>
              </w:rPr>
            </w:pPr>
          </w:p>
        </w:tc>
        <w:tc>
          <w:tcPr>
            <w:tcW w:w="2195" w:type="dxa"/>
          </w:tcPr>
          <w:p w:rsidR="005B0D69" w:rsidRDefault="005B0D69">
            <w:pPr>
              <w:rPr>
                <w:rFonts w:ascii="Arial" w:hAnsi="Arial" w:cs="Arial"/>
              </w:rPr>
            </w:pPr>
          </w:p>
        </w:tc>
      </w:tr>
    </w:tbl>
    <w:p w:rsidR="005B0D69" w:rsidRDefault="005B0D69">
      <w:pPr>
        <w:ind w:left="360"/>
        <w:rPr>
          <w:rFonts w:ascii="Arial" w:hAnsi="Arial" w:cs="Arial"/>
        </w:rPr>
      </w:pPr>
    </w:p>
    <w:p w:rsidR="005B0D69" w:rsidRDefault="009D7D26">
      <w:pPr>
        <w:ind w:left="360"/>
        <w:rPr>
          <w:rFonts w:ascii="Arial" w:hAnsi="Arial" w:cs="Arial"/>
        </w:rPr>
      </w:pPr>
      <w:r>
        <w:rPr>
          <w:rFonts w:ascii="Arial" w:hAnsi="Arial" w:cs="Arial"/>
        </w:rPr>
        <w:t xml:space="preserve">Actions spécifiques mises en place par les organisateurs du congrès pour améliorer le pourcentage de participantes et d’oratrices : </w:t>
      </w:r>
    </w:p>
    <w:p w:rsidR="005B0D69" w:rsidRDefault="005B0D69">
      <w:pPr>
        <w:ind w:left="360"/>
        <w:jc w:val="right"/>
        <w:rPr>
          <w:rFonts w:ascii="Arial" w:hAnsi="Arial" w:cs="Arial"/>
        </w:rPr>
      </w:pPr>
    </w:p>
    <w:p w:rsidR="005B0D69" w:rsidRDefault="009D7D26">
      <w:pPr>
        <w:ind w:left="360"/>
        <w:jc w:val="right"/>
        <w:rPr>
          <w:rFonts w:ascii="Arial" w:hAnsi="Arial" w:cs="Arial"/>
        </w:rPr>
      </w:pPr>
      <w:r>
        <w:rPr>
          <w:rFonts w:ascii="Arial" w:hAnsi="Arial" w:cs="Arial"/>
        </w:rPr>
        <w:t>Signature et cachets</w:t>
      </w:r>
    </w:p>
    <w:p w:rsidR="005B0D69" w:rsidRDefault="005B0D69" w:rsidP="009D7D26">
      <w:pPr>
        <w:pStyle w:val="Titre1"/>
        <w:pageBreakBefore/>
      </w:pPr>
      <w:bookmarkStart w:id="0" w:name="_GoBack"/>
    </w:p>
    <w:bookmarkEnd w:id="0"/>
    <w:p w:rsidR="005B0D69" w:rsidRDefault="009D7D26">
      <w:pPr>
        <w:pStyle w:val="Titre1"/>
      </w:pPr>
      <w:r>
        <w:t>Annexe</w:t>
      </w:r>
    </w:p>
    <w:p w:rsidR="005B0D69" w:rsidRDefault="009D7D26">
      <w:pPr>
        <w:rPr>
          <w:b/>
          <w:bCs/>
        </w:rPr>
      </w:pPr>
      <w:r>
        <w:t xml:space="preserve">European Commission, European </w:t>
      </w:r>
      <w:proofErr w:type="spellStart"/>
      <w:r>
        <w:t>Research</w:t>
      </w:r>
      <w:proofErr w:type="spellEnd"/>
      <w:r>
        <w:t xml:space="preserve"> Area, </w:t>
      </w:r>
      <w:proofErr w:type="spellStart"/>
      <w:r>
        <w:rPr>
          <w:b/>
          <w:bCs/>
        </w:rPr>
        <w:t>She</w:t>
      </w:r>
      <w:proofErr w:type="spellEnd"/>
      <w:r>
        <w:rPr>
          <w:b/>
          <w:bCs/>
        </w:rPr>
        <w:t xml:space="preserve"> Figures 2024</w:t>
      </w:r>
    </w:p>
    <w:p w:rsidR="005B0D69" w:rsidRDefault="009D7D26">
      <w:pPr>
        <w:rPr>
          <w:b/>
          <w:bCs/>
        </w:rPr>
      </w:pPr>
      <w:hyperlink r:id="rId9" w:anchor="chapter3" w:tooltip="https://projects.research-and-innovation.ec.europa.eu/en/knowledge-publications-tools-and-data/interactive-reports/she-figures-2024#chapter3" w:history="1">
        <w:r>
          <w:rPr>
            <w:rStyle w:val="Lienhypertexte"/>
          </w:rPr>
          <w:t>https://projects.research-and-innovation.ec.europa.eu/en/knowledge-publications-tools-and-data/interactive-reports/she-figures-2024#chapter3</w:t>
        </w:r>
      </w:hyperlink>
      <w:r>
        <w:t xml:space="preserve"> </w:t>
      </w:r>
    </w:p>
    <w:p w:rsidR="005B0D69" w:rsidRDefault="009D7D26">
      <w:pPr>
        <w:rPr>
          <w:lang w:val="en-US"/>
        </w:rPr>
      </w:pPr>
      <w:r>
        <w:rPr>
          <w:lang w:val="en-US"/>
        </w:rPr>
        <w:t>At the EU level, when considering all fields, gender balance is achieved among Bachelor's, Ma</w:t>
      </w:r>
      <w:r>
        <w:rPr>
          <w:lang w:val="en-US"/>
        </w:rPr>
        <w:t xml:space="preserve">ster's, and Doctoral students and graduates. However, as women advance in academia, their representation decreases, especially at top positions. This underrepresentation is evident in the fields of Humanities and the Arts (38%), Social Sciences (35%), and </w:t>
      </w:r>
      <w:r>
        <w:rPr>
          <w:lang w:val="en-US"/>
        </w:rPr>
        <w:t xml:space="preserve">Medical and Health Sciences (33%). In Science and Engineering, the gap is even wider, with women holding just 20% of grade </w:t>
      </w:r>
      <w:proofErr w:type="gramStart"/>
      <w:r>
        <w:rPr>
          <w:lang w:val="en-US"/>
        </w:rPr>
        <w:t>A</w:t>
      </w:r>
      <w:proofErr w:type="gramEnd"/>
      <w:r>
        <w:rPr>
          <w:lang w:val="en-US"/>
        </w:rPr>
        <w:t xml:space="preserve"> positions.</w:t>
      </w:r>
    </w:p>
    <w:p w:rsidR="005B0D69" w:rsidRDefault="009D7D26">
      <w:r>
        <w:t xml:space="preserve">Statistiques en Europe : extrait de </w:t>
      </w:r>
      <w:proofErr w:type="spellStart"/>
      <w:r>
        <w:t>She</w:t>
      </w:r>
      <w:proofErr w:type="spellEnd"/>
      <w:r>
        <w:t xml:space="preserve"> Figures 2024, Chapitre 6 : </w:t>
      </w:r>
    </w:p>
    <w:p w:rsidR="005B0D69" w:rsidRDefault="009D7D26">
      <w:pPr>
        <w:ind w:left="360"/>
        <w:rPr>
          <w:rFonts w:ascii="Arial" w:hAnsi="Arial" w:cs="Arial"/>
        </w:rPr>
      </w:pPr>
      <w:r>
        <w:rPr>
          <w:noProof/>
          <w:lang w:eastAsia="fr-FR"/>
        </w:rPr>
        <mc:AlternateContent>
          <mc:Choice Requires="wpg">
            <w:drawing>
              <wp:inline distT="0" distB="0" distL="0" distR="0">
                <wp:extent cx="4774019" cy="4774019"/>
                <wp:effectExtent l="0" t="0" r="7620" b="762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
                        <a:stretch/>
                      </pic:blipFill>
                      <pic:spPr bwMode="auto">
                        <a:xfrm>
                          <a:off x="0" y="0"/>
                          <a:ext cx="4780628" cy="4780628"/>
                        </a:xfrm>
                        <a:prstGeom prst="rect">
                          <a:avLst/>
                        </a:prstGeom>
                        <a:noFill/>
                        <a:ln>
                          <a:noFill/>
                        </a:ln>
                      </pic:spPr>
                    </pic:pi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375.91pt;height:375.91pt;mso-wrap-distance-left:0.00pt;mso-wrap-distance-top:0.00pt;mso-wrap-distance-right:0.00pt;mso-wrap-distance-bottom:0.00pt;z-index:1;" stroked="f">
                <v:imagedata r:id="rId14" o:title=""/>
                <o:lock v:ext="edit" rotation="t"/>
              </v:shape>
            </w:pict>
          </mc:Fallback>
        </mc:AlternateContent>
      </w:r>
    </w:p>
    <w:sectPr w:rsidR="005B0D69">
      <w:headerReference w:type="default" r:id="rId15"/>
      <w:footerReference w:type="default" r:id="rId16"/>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9" w:rsidRDefault="009D7D26">
      <w:pPr>
        <w:spacing w:after="0" w:line="240" w:lineRule="auto"/>
      </w:pPr>
      <w:r>
        <w:separator/>
      </w:r>
    </w:p>
  </w:endnote>
  <w:endnote w:type="continuationSeparator" w:id="0">
    <w:p w:rsidR="005B0D69" w:rsidRDefault="009D7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panose1 w:val="00000000000000000000"/>
    <w:charset w:val="00"/>
    <w:family w:val="roman"/>
    <w:notTrueType/>
    <w:pitch w:val="default"/>
  </w:font>
  <w:font w:name="Aptos Display">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058815"/>
      <w:docPartObj>
        <w:docPartGallery w:val="Page Numbers (Bottom of Page)"/>
        <w:docPartUnique/>
      </w:docPartObj>
    </w:sdtPr>
    <w:sdtEndPr/>
    <w:sdtContent>
      <w:p w:rsidR="005B0D69" w:rsidRDefault="009D7D26">
        <w:pPr>
          <w:pStyle w:val="Pieddepage"/>
          <w:jc w:val="right"/>
        </w:pPr>
        <w:r>
          <w:fldChar w:fldCharType="begin"/>
        </w:r>
        <w:r>
          <w:instrText>PAGE   \* MERGEFORMAT</w:instrText>
        </w:r>
        <w:r>
          <w:fldChar w:fldCharType="separate"/>
        </w:r>
        <w:r>
          <w:rPr>
            <w:noProof/>
          </w:rPr>
          <w:t>4</w:t>
        </w:r>
        <w:r>
          <w:fldChar w:fldCharType="end"/>
        </w:r>
      </w:p>
    </w:sdtContent>
  </w:sdt>
  <w:p w:rsidR="005B0D69" w:rsidRDefault="005B0D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9" w:rsidRDefault="009D7D26">
      <w:pPr>
        <w:spacing w:after="0" w:line="240" w:lineRule="auto"/>
      </w:pPr>
      <w:r>
        <w:separator/>
      </w:r>
    </w:p>
  </w:footnote>
  <w:footnote w:type="continuationSeparator" w:id="0">
    <w:p w:rsidR="005B0D69" w:rsidRDefault="009D7D26">
      <w:pPr>
        <w:spacing w:after="0" w:line="240" w:lineRule="auto"/>
      </w:pPr>
      <w:r>
        <w:continuationSeparator/>
      </w:r>
    </w:p>
  </w:footnote>
  <w:footnote w:id="1">
    <w:p w:rsidR="005B0D69" w:rsidRDefault="009D7D26">
      <w:pPr>
        <w:pStyle w:val="Notedebasdepage"/>
      </w:pPr>
      <w:r>
        <w:rPr>
          <w:rStyle w:val="Appelnotedebasdep"/>
        </w:rPr>
        <w:footnoteRef/>
      </w:r>
      <w:r>
        <w:t xml:space="preserve"> Commission Européenne</w:t>
      </w:r>
      <w:r>
        <w:rPr>
          <w:i/>
          <w:iCs/>
        </w:rPr>
        <w:t>, Shefigures2024</w:t>
      </w:r>
      <w:r>
        <w:t>, 2024</w:t>
      </w:r>
      <w:r>
        <w:tab/>
      </w:r>
    </w:p>
  </w:footnote>
  <w:footnote w:id="2">
    <w:p w:rsidR="005B0D69" w:rsidRDefault="009D7D26">
      <w:pPr>
        <w:pStyle w:val="Notedebasdepage"/>
      </w:pPr>
      <w:r>
        <w:rPr>
          <w:rStyle w:val="Appelnotedebasdep"/>
        </w:rPr>
        <w:footnoteRef/>
      </w:r>
      <w:r>
        <w:t xml:space="preserve"> UNESCO, </w:t>
      </w:r>
      <w:r>
        <w:rPr>
          <w:i/>
          <w:iCs/>
        </w:rPr>
        <w:t xml:space="preserve">The </w:t>
      </w:r>
      <w:proofErr w:type="spellStart"/>
      <w:r>
        <w:rPr>
          <w:i/>
          <w:iCs/>
        </w:rPr>
        <w:t>gender</w:t>
      </w:r>
      <w:proofErr w:type="spellEnd"/>
      <w:r>
        <w:rPr>
          <w:i/>
          <w:iCs/>
        </w:rPr>
        <w:t xml:space="preserve"> gap in science, </w:t>
      </w:r>
      <w:r>
        <w:t>2025</w:t>
      </w:r>
    </w:p>
  </w:footnote>
  <w:footnote w:id="3">
    <w:p w:rsidR="005B0D69" w:rsidRDefault="009D7D26">
      <w:pPr>
        <w:pStyle w:val="Notedebasdepage"/>
      </w:pPr>
      <w:r>
        <w:rPr>
          <w:rStyle w:val="Appelnotedebasdep"/>
        </w:rPr>
        <w:footnoteRef/>
      </w:r>
      <w:r>
        <w:t xml:space="preserve"> MESR, la parité dans la recherche, 2025</w:t>
      </w:r>
    </w:p>
  </w:footnote>
  <w:footnote w:id="4">
    <w:p w:rsidR="005B0D69" w:rsidRDefault="009D7D26">
      <w:pPr>
        <w:pStyle w:val="Notedebasdepage"/>
        <w:rPr>
          <w:b/>
          <w:bCs/>
          <w:i/>
          <w:iCs/>
        </w:rPr>
      </w:pPr>
      <w:r>
        <w:rPr>
          <w:rStyle w:val="Appelnotedebasdep"/>
        </w:rPr>
        <w:footnoteRef/>
      </w:r>
      <w:r>
        <w:t xml:space="preserve"> </w:t>
      </w:r>
      <w:proofErr w:type="gramStart"/>
      <w:r>
        <w:rPr>
          <w:i/>
          <w:iCs/>
        </w:rPr>
        <w:t>ibidem</w:t>
      </w:r>
      <w:proofErr w:type="gramEnd"/>
    </w:p>
  </w:footnote>
  <w:footnote w:id="5">
    <w:p w:rsidR="005B0D69" w:rsidRDefault="009D7D26">
      <w:pPr>
        <w:pStyle w:val="Notedebasdepage"/>
        <w:rPr>
          <w:i/>
          <w:iCs/>
        </w:rPr>
      </w:pPr>
      <w:r>
        <w:rPr>
          <w:rStyle w:val="Appelnotedebasdep"/>
        </w:rPr>
        <w:footnoteRef/>
      </w:r>
      <w:r>
        <w:t xml:space="preserve"> </w:t>
      </w:r>
      <w:proofErr w:type="spellStart"/>
      <w:proofErr w:type="gramStart"/>
      <w:r>
        <w:rPr>
          <w:i/>
          <w:iCs/>
        </w:rPr>
        <w:t>ibid</w:t>
      </w:r>
      <w:proofErr w:type="spellEnd"/>
      <w:proofErr w:type="gramEnd"/>
    </w:p>
  </w:footnote>
  <w:footnote w:id="6">
    <w:p w:rsidR="005B0D69" w:rsidRDefault="009D7D26">
      <w:pPr>
        <w:pStyle w:val="Notedebasdepage"/>
      </w:pPr>
      <w:r>
        <w:rPr>
          <w:rStyle w:val="Appelnotedebasdep"/>
        </w:rPr>
        <w:footnoteRef/>
      </w:r>
      <w:r>
        <w:t xml:space="preserve"> MESR, la parité dans la recherche, 2025</w:t>
      </w:r>
    </w:p>
  </w:footnote>
  <w:footnote w:id="7">
    <w:p w:rsidR="005B0D69" w:rsidRDefault="009D7D26">
      <w:pPr>
        <w:pStyle w:val="Notedebasdepage"/>
      </w:pPr>
      <w:r>
        <w:rPr>
          <w:rStyle w:val="Appelnotedebasdep"/>
        </w:rPr>
        <w:footnoteRef/>
      </w:r>
      <w:r>
        <w:t xml:space="preserve"> MESR, </w:t>
      </w:r>
      <w:r>
        <w:t>la parité dans l’enseignement supérieur, 2025</w:t>
      </w:r>
    </w:p>
  </w:footnote>
  <w:footnote w:id="8">
    <w:p w:rsidR="005B0D69" w:rsidRDefault="009D7D26">
      <w:pPr>
        <w:pStyle w:val="Notedebasdepage"/>
      </w:pPr>
      <w:r>
        <w:rPr>
          <w:rStyle w:val="Appelnotedebasdep"/>
        </w:rPr>
        <w:footnoteRef/>
      </w:r>
      <w:r>
        <w:t xml:space="preserve"> Aurélie </w:t>
      </w:r>
      <w:proofErr w:type="spellStart"/>
      <w:r>
        <w:t>Tachot</w:t>
      </w:r>
      <w:proofErr w:type="spellEnd"/>
      <w:r>
        <w:t xml:space="preserve">, </w:t>
      </w:r>
      <w:r>
        <w:rPr>
          <w:i/>
          <w:iCs/>
        </w:rPr>
        <w:t xml:space="preserve">Voici le nombre d'années qu'il faudrait pour arriver à 50% de femmes dans les écoles d'ingénieurs, </w:t>
      </w:r>
      <w:r>
        <w:t>Le</w:t>
      </w:r>
      <w:r>
        <w:rPr>
          <w:i/>
          <w:iCs/>
        </w:rPr>
        <w:t xml:space="preserve"> </w:t>
      </w:r>
      <w:r>
        <w:t>Figaro étudiant, 2025</w:t>
      </w:r>
    </w:p>
  </w:footnote>
  <w:footnote w:id="9">
    <w:p w:rsidR="005B0D69" w:rsidRDefault="009D7D26">
      <w:pPr>
        <w:pStyle w:val="Notedebasdepage"/>
      </w:pPr>
      <w:r>
        <w:rPr>
          <w:rStyle w:val="Appelnotedebasdep"/>
        </w:rPr>
        <w:footnoteRef/>
      </w:r>
      <w:r>
        <w:t xml:space="preserve"> Se référer au formulaire à remplir à la page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D69" w:rsidRDefault="009D7D26" w:rsidP="009D7D26">
    <w:pPr>
      <w:pStyle w:val="En-tte"/>
      <w:jc w:val="center"/>
    </w:pPr>
    <w:r>
      <w:rPr>
        <w:noProof/>
        <w:lang w:eastAsia="fr-FR"/>
      </w:rPr>
      <mc:AlternateContent>
        <mc:Choice Requires="wpg">
          <w:drawing>
            <wp:inline distT="0" distB="0" distL="0" distR="0">
              <wp:extent cx="3105150" cy="768350"/>
              <wp:effectExtent l="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1"/>
                      <a:stretch/>
                    </pic:blipFill>
                    <pic:spPr bwMode="auto">
                      <a:xfrm>
                        <a:off x="0" y="0"/>
                        <a:ext cx="3105150" cy="768350"/>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244.50pt;height:60.50pt;mso-wrap-distance-left:0.00pt;mso-wrap-distance-top:0.00pt;mso-wrap-distance-right:0.00pt;mso-wrap-distance-bottom:0.00pt;z-index:1;" stroked="f">
              <v:imagedata r:id="rId2" o:title=""/>
              <o:lock v:ext="edit" rotation="t"/>
            </v:shape>
          </w:pict>
        </mc:Fallback>
      </mc:AlternateContent>
    </w:r>
    <w:r>
      <w:rPr>
        <w:noProof/>
        <w:lang w:eastAsia="fr-FR"/>
      </w:rPr>
      <w:drawing>
        <wp:inline distT="0" distB="0" distL="0" distR="0">
          <wp:extent cx="1892410" cy="886849"/>
          <wp:effectExtent l="0" t="0" r="0" b="889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2030 - Future Networks (couleurs).png"/>
                  <pic:cNvPicPr/>
                </pic:nvPicPr>
                <pic:blipFill rotWithShape="1">
                  <a:blip r:embed="rId3" cstate="print">
                    <a:extLst>
                      <a:ext uri="{28A0092B-C50C-407E-A947-70E740481C1C}">
                        <a14:useLocalDpi xmlns:a14="http://schemas.microsoft.com/office/drawing/2010/main" val="0"/>
                      </a:ext>
                    </a:extLst>
                  </a:blip>
                  <a:srcRect l="7179" t="13702" r="6813" b="13544"/>
                  <a:stretch/>
                </pic:blipFill>
                <pic:spPr bwMode="auto">
                  <a:xfrm>
                    <a:off x="0" y="0"/>
                    <a:ext cx="1894750" cy="88794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F20F05"/>
    <w:multiLevelType w:val="multilevel"/>
    <w:tmpl w:val="AA90ECF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D69"/>
    <w:rsid w:val="002041CE"/>
    <w:rsid w:val="005B0D69"/>
    <w:rsid w:val="009D7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1EB069-9FC4-40BF-AD12-5B07FAFC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000000"/>
          <w:left w:val="none" w:sz="0" w:space="0" w:color="000000"/>
          <w:bottom w:val="single" w:sz="4" w:space="0" w:color="63BDE6" w:themeColor="accent1" w:themeTint="80"/>
          <w:right w:val="none" w:sz="0"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000000"/>
          <w:left w:val="none" w:sz="0" w:space="0" w:color="000000"/>
          <w:bottom w:val="none" w:sz="0"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000000"/>
          <w:left w:val="single" w:sz="4" w:space="0" w:color="63BDE6" w:themeColor="accent1" w:themeTint="80"/>
          <w:bottom w:val="none" w:sz="0" w:space="0" w:color="000000"/>
          <w:right w:val="none" w:sz="0"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000000"/>
          <w:left w:val="none" w:sz="0" w:space="0" w:color="000000"/>
          <w:bottom w:val="single" w:sz="4" w:space="0" w:color="F2AA85" w:themeColor="accent2" w:themeTint="97"/>
          <w:right w:val="none" w:sz="0"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000000"/>
          <w:left w:val="none" w:sz="0" w:space="0" w:color="000000"/>
          <w:bottom w:val="none" w:sz="0"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000000"/>
          <w:left w:val="single" w:sz="4" w:space="0" w:color="F2AA85" w:themeColor="accent2" w:themeTint="97"/>
          <w:bottom w:val="none" w:sz="0" w:space="0" w:color="000000"/>
          <w:right w:val="none" w:sz="0"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000000"/>
          <w:left w:val="none" w:sz="0" w:space="0" w:color="000000"/>
          <w:bottom w:val="single" w:sz="4" w:space="0" w:color="196C24" w:themeColor="accent3" w:themeTint="FE"/>
          <w:right w:val="none" w:sz="0"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000000"/>
          <w:left w:val="none" w:sz="0" w:space="0" w:color="000000"/>
          <w:bottom w:val="none" w:sz="0"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000000"/>
          <w:left w:val="single" w:sz="4" w:space="0" w:color="196C24" w:themeColor="accent3" w:themeTint="FE"/>
          <w:bottom w:val="none" w:sz="0" w:space="0" w:color="000000"/>
          <w:right w:val="none" w:sz="0"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000000"/>
          <w:left w:val="none" w:sz="0" w:space="0" w:color="000000"/>
          <w:bottom w:val="single" w:sz="4" w:space="0" w:color="5FCAF3" w:themeColor="accent4" w:themeTint="9A"/>
          <w:right w:val="none" w:sz="0"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000000"/>
          <w:left w:val="none" w:sz="0" w:space="0" w:color="000000"/>
          <w:bottom w:val="none" w:sz="0"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000000"/>
          <w:left w:val="single" w:sz="4" w:space="0" w:color="5FCAF3" w:themeColor="accent4" w:themeTint="9A"/>
          <w:bottom w:val="none" w:sz="0" w:space="0" w:color="000000"/>
          <w:right w:val="none" w:sz="0"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000000"/>
          <w:left w:val="none" w:sz="0" w:space="0" w:color="000000"/>
          <w:bottom w:val="single" w:sz="4" w:space="0" w:color="DA76CE" w:themeColor="accent5" w:themeTint="90"/>
          <w:right w:val="none" w:sz="0"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000000"/>
          <w:left w:val="none" w:sz="0" w:space="0" w:color="000000"/>
          <w:bottom w:val="none" w:sz="0"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000000"/>
          <w:left w:val="single" w:sz="4" w:space="0" w:color="DA76CE" w:themeColor="accent5" w:themeTint="90"/>
          <w:bottom w:val="none" w:sz="0" w:space="0" w:color="000000"/>
          <w:right w:val="none" w:sz="0"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000000"/>
          <w:left w:val="none" w:sz="0" w:space="0" w:color="000000"/>
          <w:bottom w:val="single" w:sz="4" w:space="0" w:color="94DA7B" w:themeColor="accent6" w:themeTint="90"/>
          <w:right w:val="none" w:sz="0"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000000"/>
          <w:left w:val="none" w:sz="0" w:space="0" w:color="000000"/>
          <w:bottom w:val="none" w:sz="0"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000000"/>
          <w:left w:val="single" w:sz="4" w:space="0" w:color="94DA7B" w:themeColor="accent6" w:themeTint="90"/>
          <w:bottom w:val="none" w:sz="0" w:space="0" w:color="000000"/>
          <w:right w:val="none" w:sz="0"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000000"/>
          <w:left w:val="none" w:sz="0" w:space="0" w:color="000000"/>
          <w:bottom w:val="single" w:sz="4" w:space="0" w:color="156082" w:themeColor="accent1"/>
          <w:right w:val="none" w:sz="0"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000000"/>
          <w:left w:val="none" w:sz="0" w:space="0" w:color="000000"/>
          <w:bottom w:val="none" w:sz="0"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000000"/>
          <w:left w:val="single" w:sz="4" w:space="0" w:color="156082" w:themeColor="accent1"/>
          <w:bottom w:val="none" w:sz="0" w:space="0" w:color="000000"/>
          <w:right w:val="none" w:sz="0"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000000"/>
          <w:left w:val="none" w:sz="0" w:space="0" w:color="000000"/>
          <w:bottom w:val="single" w:sz="4" w:space="0" w:color="F2AA85" w:themeColor="accent2" w:themeTint="97"/>
          <w:right w:val="none" w:sz="0"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000000"/>
          <w:left w:val="none" w:sz="0" w:space="0" w:color="000000"/>
          <w:bottom w:val="none" w:sz="0"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000000"/>
          <w:left w:val="single" w:sz="4" w:space="0" w:color="F2AA85" w:themeColor="accent2" w:themeTint="97"/>
          <w:bottom w:val="none" w:sz="0" w:space="0" w:color="000000"/>
          <w:right w:val="none" w:sz="0"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000000"/>
          <w:left w:val="none" w:sz="0" w:space="0" w:color="000000"/>
          <w:bottom w:val="single" w:sz="4" w:space="0" w:color="48D45B" w:themeColor="accent3" w:themeTint="98"/>
          <w:right w:val="none" w:sz="0"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000000"/>
          <w:left w:val="none" w:sz="0" w:space="0" w:color="000000"/>
          <w:bottom w:val="none" w:sz="0"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000000"/>
          <w:left w:val="single" w:sz="4" w:space="0" w:color="48D45B" w:themeColor="accent3" w:themeTint="98"/>
          <w:bottom w:val="none" w:sz="0" w:space="0" w:color="000000"/>
          <w:right w:val="none" w:sz="0"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000000"/>
          <w:left w:val="none" w:sz="0" w:space="0" w:color="000000"/>
          <w:bottom w:val="single" w:sz="4" w:space="0" w:color="5FCAF3" w:themeColor="accent4" w:themeTint="9A"/>
          <w:right w:val="none" w:sz="0"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000000"/>
          <w:left w:val="none" w:sz="0" w:space="0" w:color="000000"/>
          <w:bottom w:val="none" w:sz="0"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000000"/>
          <w:left w:val="single" w:sz="4" w:space="0" w:color="5FCAF3" w:themeColor="accent4" w:themeTint="9A"/>
          <w:bottom w:val="none" w:sz="0" w:space="0" w:color="000000"/>
          <w:right w:val="none" w:sz="0"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000000"/>
          <w:left w:val="none" w:sz="0" w:space="0" w:color="000000"/>
          <w:bottom w:val="single" w:sz="4" w:space="0" w:color="D76CCB" w:themeColor="accent5" w:themeTint="9A"/>
          <w:right w:val="none" w:sz="0"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000000"/>
          <w:left w:val="none" w:sz="0" w:space="0" w:color="000000"/>
          <w:bottom w:val="none" w:sz="0"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000000"/>
          <w:left w:val="single" w:sz="4" w:space="0" w:color="D76CCB" w:themeColor="accent5" w:themeTint="9A"/>
          <w:bottom w:val="none" w:sz="0" w:space="0" w:color="000000"/>
          <w:right w:val="none" w:sz="0"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000000"/>
          <w:left w:val="none" w:sz="0" w:space="0" w:color="000000"/>
          <w:bottom w:val="single" w:sz="4" w:space="0" w:color="8ED873" w:themeColor="accent6" w:themeTint="98"/>
          <w:right w:val="none" w:sz="0"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000000"/>
          <w:left w:val="none" w:sz="0" w:space="0" w:color="000000"/>
          <w:bottom w:val="none" w:sz="0"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000000"/>
          <w:left w:val="single" w:sz="4" w:space="0" w:color="8ED873" w:themeColor="accent6" w:themeTint="98"/>
          <w:bottom w:val="none" w:sz="0" w:space="0" w:color="000000"/>
          <w:right w:val="none" w:sz="0"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Policepardfaut"/>
    <w:uiPriority w:val="9"/>
    <w:rPr>
      <w:rFonts w:ascii="Arial" w:eastAsia="Arial" w:hAnsi="Arial" w:cs="Arial"/>
      <w:color w:val="0F4761" w:themeColor="accent1" w:themeShade="BF"/>
      <w:sz w:val="40"/>
      <w:szCs w:val="40"/>
    </w:rPr>
  </w:style>
  <w:style w:type="character" w:customStyle="1" w:styleId="Heading2Char">
    <w:name w:val="Heading 2 Char"/>
    <w:basedOn w:val="Policepardfaut"/>
    <w:uiPriority w:val="9"/>
    <w:rPr>
      <w:rFonts w:ascii="Arial" w:eastAsia="Arial" w:hAnsi="Arial" w:cs="Arial"/>
      <w:color w:val="0F4761" w:themeColor="accent1" w:themeShade="BF"/>
      <w:sz w:val="32"/>
      <w:szCs w:val="32"/>
    </w:rPr>
  </w:style>
  <w:style w:type="character" w:customStyle="1" w:styleId="Heading3Char">
    <w:name w:val="Heading 3 Char"/>
    <w:basedOn w:val="Policepardfaut"/>
    <w:uiPriority w:val="9"/>
    <w:rPr>
      <w:rFonts w:ascii="Arial" w:eastAsia="Arial" w:hAnsi="Arial" w:cs="Arial"/>
      <w:color w:val="0F4761" w:themeColor="accent1" w:themeShade="BF"/>
      <w:sz w:val="28"/>
      <w:szCs w:val="28"/>
    </w:rPr>
  </w:style>
  <w:style w:type="character" w:customStyle="1" w:styleId="Heading4Char">
    <w:name w:val="Heading 4 Char"/>
    <w:basedOn w:val="Policepardfaut"/>
    <w:uiPriority w:val="9"/>
    <w:rPr>
      <w:rFonts w:ascii="Arial" w:eastAsia="Arial" w:hAnsi="Arial" w:cs="Arial"/>
      <w:i/>
      <w:iCs/>
      <w:color w:val="0F4761" w:themeColor="accent1" w:themeShade="BF"/>
    </w:rPr>
  </w:style>
  <w:style w:type="character" w:customStyle="1" w:styleId="Heading5Char">
    <w:name w:val="Heading 5 Char"/>
    <w:basedOn w:val="Policepardfaut"/>
    <w:uiPriority w:val="9"/>
    <w:rPr>
      <w:rFonts w:ascii="Arial" w:eastAsia="Arial" w:hAnsi="Arial" w:cs="Arial"/>
      <w:color w:val="0F476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0F4761" w:themeColor="accent1" w:themeShade="BF"/>
    </w:rPr>
  </w:style>
  <w:style w:type="paragraph" w:styleId="Sansinterligne">
    <w:name w:val="No Spacing"/>
    <w:basedOn w:val="Normal"/>
    <w:uiPriority w:val="1"/>
    <w:qFormat/>
    <w:pPr>
      <w:spacing w:after="0" w:line="240" w:lineRule="auto"/>
    </w:pPr>
  </w:style>
  <w:style w:type="character" w:styleId="Emphasepl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0E2841" w:themeColor="text2"/>
      <w:sz w:val="18"/>
      <w:szCs w:val="18"/>
    </w:rPr>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character" w:styleId="Lienhypertextesuivivisit">
    <w:name w:val="FollowedHyperlink"/>
    <w:basedOn w:val="Policepardfaut"/>
    <w:uiPriority w:val="99"/>
    <w:semiHidden/>
    <w:unhideWhenUsed/>
    <w:rPr>
      <w:color w:val="96607D"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uiPriority w:val="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Pr>
      <w:rFonts w:eastAsiaTheme="majorEastAsia" w:cstheme="majorBidi"/>
      <w:color w:val="0F4761" w:themeColor="accent1" w:themeShade="BF"/>
    </w:rPr>
  </w:style>
  <w:style w:type="character" w:customStyle="1" w:styleId="Titre6Car">
    <w:name w:val="Titre 6 Car"/>
    <w:basedOn w:val="Policepardfaut"/>
    <w:link w:val="Titre6"/>
    <w:uiPriority w:val="9"/>
    <w:semiHidden/>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Pr>
      <w:rFonts w:eastAsiaTheme="majorEastAsia" w:cstheme="majorBidi"/>
      <w:color w:val="595959" w:themeColor="text1" w:themeTint="A6"/>
    </w:rPr>
  </w:style>
  <w:style w:type="character" w:customStyle="1" w:styleId="Titre8Car">
    <w:name w:val="Titre 8 Car"/>
    <w:basedOn w:val="Policepardfaut"/>
    <w:link w:val="Titre8"/>
    <w:uiPriority w:val="9"/>
    <w:semiHidden/>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Pr>
      <w:rFonts w:eastAsiaTheme="majorEastAsia" w:cstheme="majorBidi"/>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sz w:val="56"/>
      <w:szCs w:val="56"/>
    </w:rPr>
  </w:style>
  <w:style w:type="paragraph" w:styleId="Sous-titre">
    <w:name w:val="Subtitle"/>
    <w:basedOn w:val="Normal"/>
    <w:next w:val="Normal"/>
    <w:link w:val="Sous-titreCar"/>
    <w:uiPriority w:val="11"/>
    <w:qFormat/>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Emphaseintense">
    <w:name w:val="Intense Emphasis"/>
    <w:basedOn w:val="Policepardfaut"/>
    <w:uiPriority w:val="21"/>
    <w:qFormat/>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Pr>
      <w:i/>
      <w:iCs/>
      <w:color w:val="0F4761" w:themeColor="accent1" w:themeShade="BF"/>
    </w:rPr>
  </w:style>
  <w:style w:type="character" w:styleId="Rfrenceintense">
    <w:name w:val="Intense Reference"/>
    <w:basedOn w:val="Policepardfaut"/>
    <w:uiPriority w:val="32"/>
    <w:qFormat/>
    <w:rPr>
      <w:b/>
      <w:bCs/>
      <w:smallCaps/>
      <w:color w:val="0F4761" w:themeColor="accent1" w:themeShade="BF"/>
      <w:spacing w:val="5"/>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467886" w:themeColor="hyperlink"/>
      <w:u w:val="single"/>
    </w:rPr>
  </w:style>
  <w:style w:type="character" w:customStyle="1" w:styleId="UnresolvedMention">
    <w:name w:val="Unresolved Mention"/>
    <w:basedOn w:val="Policepardfaut"/>
    <w:uiPriority w:val="99"/>
    <w:semiHidden/>
    <w:unhideWhenUsed/>
    <w:rPr>
      <w:color w:val="605E5C"/>
      <w:shd w:val="clear" w:color="auto" w:fill="E1DFDD"/>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Rvision">
    <w:name w:val="Revision"/>
    <w:hidden/>
    <w:uiPriority w:val="99"/>
    <w:semiHidden/>
    <w:pPr>
      <w:spacing w:after="0" w:line="240" w:lineRule="auto"/>
    </w:pPr>
  </w:style>
  <w:style w:type="paragraph" w:styleId="Textedebulles">
    <w:name w:val="Balloon Text"/>
    <w:basedOn w:val="Normal"/>
    <w:link w:val="TextedebullesCar"/>
    <w:uiPriority w:val="99"/>
    <w:semiHidden/>
    <w:unhideWhenUsed/>
    <w:rsid w:val="002041C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41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mille.dierickx@imt.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projects.research-and-innovation.ec.europa.eu/en/knowledge-publications-tools-and-data/interactive-reports/she-figures-2024"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10.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1BE0B-7303-4CD9-9B16-B1DB5C7BD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734</Words>
  <Characters>4037</Characters>
  <Application>Microsoft Office Word</Application>
  <DocSecurity>0</DocSecurity>
  <Lines>33</Lines>
  <Paragraphs>9</Paragraphs>
  <ScaleCrop>false</ScaleCrop>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Dierickx</dc:creator>
  <cp:keywords/>
  <dc:description/>
  <cp:lastModifiedBy>LATTRON Aurelie</cp:lastModifiedBy>
  <cp:revision>3</cp:revision>
  <dcterms:created xsi:type="dcterms:W3CDTF">2025-12-03T17:01:00Z</dcterms:created>
  <dcterms:modified xsi:type="dcterms:W3CDTF">2025-12-03T17:04:00Z</dcterms:modified>
</cp:coreProperties>
</file>